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5788"/>
      </w:tblGrid>
      <w:tr w:rsidR="00BF0430" w:rsidRPr="00BF0430" w14:paraId="6D78FE9A" w14:textId="77777777" w:rsidTr="00205593">
        <w:tc>
          <w:tcPr>
            <w:tcW w:w="3284" w:type="dxa"/>
          </w:tcPr>
          <w:p w14:paraId="18D6A2EB" w14:textId="7DFB4F6D" w:rsidR="00374A32" w:rsidRPr="00BF0430" w:rsidRDefault="00374A32" w:rsidP="00695186">
            <w:pPr>
              <w:jc w:val="center"/>
              <w:rPr>
                <w:rFonts w:ascii="Times New Roman" w:hAnsi="Times New Roman" w:cs="Times New Roman"/>
                <w:b/>
                <w:bCs/>
                <w:sz w:val="28"/>
                <w:szCs w:val="28"/>
              </w:rPr>
            </w:pPr>
          </w:p>
        </w:tc>
        <w:tc>
          <w:tcPr>
            <w:tcW w:w="5788" w:type="dxa"/>
          </w:tcPr>
          <w:p w14:paraId="7892DB39" w14:textId="77777777" w:rsidR="00141AE4" w:rsidRDefault="00141AE4" w:rsidP="0044317A">
            <w:pPr>
              <w:jc w:val="center"/>
              <w:rPr>
                <w:rFonts w:ascii="Times New Roman" w:hAnsi="Times New Roman" w:cs="Times New Roman"/>
                <w:b/>
                <w:bCs/>
                <w:color w:val="061690"/>
                <w:sz w:val="28"/>
                <w:szCs w:val="28"/>
              </w:rPr>
            </w:pPr>
          </w:p>
          <w:p w14:paraId="126EB913" w14:textId="744D96BE" w:rsidR="0044317A" w:rsidRPr="008F691F" w:rsidRDefault="0044317A" w:rsidP="0044317A">
            <w:pPr>
              <w:jc w:val="center"/>
              <w:rPr>
                <w:rFonts w:ascii="Times New Roman" w:hAnsi="Times New Roman" w:cs="Times New Roman"/>
                <w:b/>
                <w:bCs/>
                <w:color w:val="061690"/>
                <w:sz w:val="28"/>
                <w:szCs w:val="28"/>
              </w:rPr>
            </w:pPr>
            <w:r w:rsidRPr="008F691F">
              <w:rPr>
                <w:rFonts w:ascii="Times New Roman" w:hAnsi="Times New Roman" w:cs="Times New Roman"/>
                <w:b/>
                <w:bCs/>
                <w:color w:val="061690"/>
                <w:sz w:val="28"/>
                <w:szCs w:val="28"/>
              </w:rPr>
              <w:t>TẬP ĐOÀN ĐIỆN LỰC VIỆT NAM</w:t>
            </w:r>
          </w:p>
          <w:p w14:paraId="3CBED4A3" w14:textId="0C9EBF2D" w:rsidR="0044317A" w:rsidRPr="008F691F" w:rsidRDefault="0044317A" w:rsidP="0044317A">
            <w:pPr>
              <w:jc w:val="center"/>
              <w:rPr>
                <w:rFonts w:ascii="Times New Roman" w:hAnsi="Times New Roman" w:cs="Times New Roman"/>
                <w:b/>
                <w:bCs/>
                <w:color w:val="061690"/>
                <w:sz w:val="28"/>
                <w:szCs w:val="28"/>
              </w:rPr>
            </w:pPr>
            <w:r w:rsidRPr="008F691F">
              <w:rPr>
                <w:rFonts w:ascii="Times New Roman" w:hAnsi="Times New Roman" w:cs="Times New Roman"/>
                <w:b/>
                <w:bCs/>
                <w:color w:val="061690"/>
                <w:sz w:val="28"/>
                <w:szCs w:val="28"/>
              </w:rPr>
              <w:t xml:space="preserve">TỔNG CÔNG TY PHÁT ĐIỆN 3 </w:t>
            </w:r>
            <w:r w:rsidR="00BF0430" w:rsidRPr="008F691F">
              <w:rPr>
                <w:rFonts w:ascii="Times New Roman" w:hAnsi="Times New Roman" w:cs="Times New Roman"/>
                <w:b/>
                <w:bCs/>
                <w:color w:val="061690"/>
                <w:sz w:val="28"/>
                <w:szCs w:val="28"/>
              </w:rPr>
              <w:t>-</w:t>
            </w:r>
            <w:r w:rsidRPr="008F691F">
              <w:rPr>
                <w:rFonts w:ascii="Times New Roman" w:hAnsi="Times New Roman" w:cs="Times New Roman"/>
                <w:b/>
                <w:bCs/>
                <w:color w:val="061690"/>
                <w:sz w:val="28"/>
                <w:szCs w:val="28"/>
              </w:rPr>
              <w:t xml:space="preserve"> CTCP</w:t>
            </w:r>
          </w:p>
          <w:p w14:paraId="203EA7CF" w14:textId="38AAE311" w:rsidR="0044317A" w:rsidRPr="008F691F" w:rsidRDefault="0044317A" w:rsidP="0044317A">
            <w:pPr>
              <w:jc w:val="center"/>
              <w:rPr>
                <w:rFonts w:ascii="Times New Roman" w:hAnsi="Times New Roman" w:cs="Times New Roman"/>
                <w:b/>
                <w:bCs/>
                <w:color w:val="0033CC"/>
                <w:sz w:val="28"/>
                <w:szCs w:val="28"/>
              </w:rPr>
            </w:pPr>
          </w:p>
          <w:p w14:paraId="7D34CBBD" w14:textId="77777777" w:rsidR="00374A32" w:rsidRPr="00BF0430" w:rsidRDefault="00374A32" w:rsidP="008F691F">
            <w:pPr>
              <w:jc w:val="center"/>
              <w:rPr>
                <w:rFonts w:ascii="Times New Roman" w:hAnsi="Times New Roman" w:cs="Times New Roman"/>
                <w:b/>
                <w:bCs/>
                <w:sz w:val="28"/>
                <w:szCs w:val="28"/>
              </w:rPr>
            </w:pPr>
          </w:p>
        </w:tc>
      </w:tr>
      <w:tr w:rsidR="008F691F" w:rsidRPr="00BF0430" w14:paraId="03F3E93F" w14:textId="77777777" w:rsidTr="00205593">
        <w:tc>
          <w:tcPr>
            <w:tcW w:w="9072" w:type="dxa"/>
            <w:gridSpan w:val="2"/>
          </w:tcPr>
          <w:p w14:paraId="0AE0A177" w14:textId="77777777" w:rsidR="008F691F" w:rsidRPr="008F691F" w:rsidRDefault="008F691F" w:rsidP="008F691F">
            <w:pPr>
              <w:jc w:val="center"/>
              <w:rPr>
                <w:rFonts w:ascii="Times New Roman" w:hAnsi="Times New Roman" w:cs="Times New Roman"/>
                <w:b/>
                <w:bCs/>
                <w:color w:val="FF0000"/>
                <w:sz w:val="28"/>
                <w:szCs w:val="28"/>
              </w:rPr>
            </w:pPr>
            <w:r w:rsidRPr="008F691F">
              <w:rPr>
                <w:rFonts w:ascii="Times New Roman" w:hAnsi="Times New Roman" w:cs="Times New Roman"/>
                <w:b/>
                <w:bCs/>
                <w:color w:val="FF0000"/>
                <w:sz w:val="32"/>
                <w:szCs w:val="28"/>
              </w:rPr>
              <w:t>THÔNG CÁO BÁO CHÍ</w:t>
            </w:r>
          </w:p>
          <w:p w14:paraId="669EFE96" w14:textId="77777777" w:rsidR="008F691F" w:rsidRPr="008F691F" w:rsidRDefault="008F691F" w:rsidP="008F691F">
            <w:pPr>
              <w:jc w:val="center"/>
              <w:rPr>
                <w:rFonts w:ascii="Times New Roman" w:hAnsi="Times New Roman" w:cs="Times New Roman"/>
                <w:b/>
                <w:bCs/>
                <w:color w:val="0033CC"/>
                <w:sz w:val="28"/>
                <w:szCs w:val="28"/>
              </w:rPr>
            </w:pPr>
          </w:p>
          <w:p w14:paraId="7C99AEB5" w14:textId="09FDB625" w:rsidR="008F691F" w:rsidRPr="008F691F" w:rsidRDefault="008F691F" w:rsidP="008F691F">
            <w:pPr>
              <w:jc w:val="center"/>
              <w:rPr>
                <w:rFonts w:ascii="Times New Roman" w:hAnsi="Times New Roman" w:cs="Times New Roman"/>
                <w:b/>
                <w:bCs/>
                <w:color w:val="061690"/>
                <w:sz w:val="28"/>
                <w:szCs w:val="28"/>
              </w:rPr>
            </w:pPr>
            <w:r w:rsidRPr="008F691F">
              <w:rPr>
                <w:rFonts w:ascii="Times New Roman" w:hAnsi="Times New Roman" w:cs="Times New Roman"/>
                <w:b/>
                <w:bCs/>
                <w:color w:val="061690"/>
                <w:sz w:val="28"/>
                <w:szCs w:val="28"/>
              </w:rPr>
              <w:t>EVN</w:t>
            </w:r>
            <w:r w:rsidRPr="008F691F">
              <w:rPr>
                <w:rFonts w:ascii="Times New Roman" w:hAnsi="Times New Roman" w:cs="Times New Roman"/>
                <w:b/>
                <w:bCs/>
                <w:i/>
                <w:color w:val="061690"/>
                <w:sz w:val="28"/>
                <w:szCs w:val="28"/>
              </w:rPr>
              <w:t>GENCO3</w:t>
            </w:r>
            <w:r w:rsidRPr="008F691F">
              <w:rPr>
                <w:rFonts w:ascii="Times New Roman" w:hAnsi="Times New Roman" w:cs="Times New Roman"/>
                <w:b/>
                <w:bCs/>
                <w:color w:val="061690"/>
                <w:sz w:val="28"/>
                <w:szCs w:val="28"/>
              </w:rPr>
              <w:t xml:space="preserve"> CHÍNH THỨC NIÊM YẾT CỔ PHIẾU TRÊN SÀN GIAO DỊCH CHỨNG KHOÁN THÀNH PHỐ HỒ CHÍ MINH</w:t>
            </w:r>
          </w:p>
          <w:p w14:paraId="25B74C39" w14:textId="77777777" w:rsidR="008F691F" w:rsidRPr="008F691F" w:rsidRDefault="008F691F" w:rsidP="0044317A">
            <w:pPr>
              <w:jc w:val="center"/>
              <w:rPr>
                <w:rFonts w:ascii="Times New Roman" w:hAnsi="Times New Roman" w:cs="Times New Roman"/>
                <w:b/>
                <w:bCs/>
                <w:color w:val="0033CC"/>
                <w:sz w:val="28"/>
                <w:szCs w:val="28"/>
              </w:rPr>
            </w:pPr>
          </w:p>
        </w:tc>
      </w:tr>
    </w:tbl>
    <w:p w14:paraId="1AC6B958" w14:textId="2828B6BE" w:rsidR="00374A32" w:rsidRDefault="00D42F82" w:rsidP="00374A32">
      <w:pPr>
        <w:jc w:val="both"/>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59264" behindDoc="1" locked="0" layoutInCell="1" allowOverlap="1" wp14:anchorId="2EFD88F0" wp14:editId="55609EEE">
            <wp:simplePos x="0" y="0"/>
            <wp:positionH relativeFrom="margin">
              <wp:posOffset>-397933</wp:posOffset>
            </wp:positionH>
            <wp:positionV relativeFrom="paragraph">
              <wp:posOffset>-2278168</wp:posOffset>
            </wp:positionV>
            <wp:extent cx="6527800" cy="9795933"/>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kit_blue-border-png_1292785 - Copy.png"/>
                    <pic:cNvPicPr/>
                  </pic:nvPicPr>
                  <pic:blipFill>
                    <a:blip r:embed="rId7">
                      <a:extLst>
                        <a:ext uri="{28A0092B-C50C-407E-A947-70E740481C1C}">
                          <a14:useLocalDpi xmlns:a14="http://schemas.microsoft.com/office/drawing/2010/main" val="0"/>
                        </a:ext>
                      </a:extLst>
                    </a:blip>
                    <a:stretch>
                      <a:fillRect/>
                    </a:stretch>
                  </pic:blipFill>
                  <pic:spPr>
                    <a:xfrm>
                      <a:off x="0" y="0"/>
                      <a:ext cx="6530347" cy="9799755"/>
                    </a:xfrm>
                    <a:prstGeom prst="rect">
                      <a:avLst/>
                    </a:prstGeom>
                  </pic:spPr>
                </pic:pic>
              </a:graphicData>
            </a:graphic>
            <wp14:sizeRelH relativeFrom="page">
              <wp14:pctWidth>0</wp14:pctWidth>
            </wp14:sizeRelH>
            <wp14:sizeRelV relativeFrom="page">
              <wp14:pctHeight>0</wp14:pctHeight>
            </wp14:sizeRelV>
          </wp:anchor>
        </w:drawing>
      </w:r>
      <w:r w:rsidR="00141AE4" w:rsidRPr="00BF0430">
        <w:rPr>
          <w:rFonts w:ascii="Times New Roman" w:hAnsi="Times New Roman" w:cs="Times New Roman"/>
          <w:b/>
          <w:bCs/>
          <w:noProof/>
          <w:sz w:val="28"/>
          <w:szCs w:val="28"/>
          <w:lang w:val="en-US"/>
        </w:rPr>
        <w:drawing>
          <wp:anchor distT="0" distB="0" distL="114300" distR="114300" simplePos="0" relativeHeight="251658240" behindDoc="0" locked="0" layoutInCell="1" allowOverlap="1" wp14:anchorId="439A39EF" wp14:editId="0D59D885">
            <wp:simplePos x="0" y="0"/>
            <wp:positionH relativeFrom="column">
              <wp:posOffset>143510</wp:posOffset>
            </wp:positionH>
            <wp:positionV relativeFrom="paragraph">
              <wp:posOffset>-2424067</wp:posOffset>
            </wp:positionV>
            <wp:extent cx="1428750" cy="1428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i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00AF25CC" w:rsidRPr="00BF0430">
        <w:rPr>
          <w:rFonts w:ascii="Times New Roman" w:hAnsi="Times New Roman" w:cs="Times New Roman"/>
          <w:sz w:val="28"/>
          <w:szCs w:val="28"/>
        </w:rPr>
        <w:t>Ngày 10/02/2022, Sở Giao dịch Chứng khoán Thành phố Hồ Chí Minh (HOSE)</w:t>
      </w:r>
      <w:r w:rsidR="00374A32" w:rsidRPr="00BF0430">
        <w:rPr>
          <w:rFonts w:ascii="Times New Roman" w:hAnsi="Times New Roman" w:cs="Times New Roman"/>
          <w:sz w:val="28"/>
          <w:szCs w:val="28"/>
        </w:rPr>
        <w:t xml:space="preserve"> tổ chức Lễ</w:t>
      </w:r>
      <w:r w:rsidR="00AF25CC" w:rsidRPr="00BF0430">
        <w:rPr>
          <w:rFonts w:ascii="Times New Roman" w:hAnsi="Times New Roman" w:cs="Times New Roman"/>
          <w:sz w:val="28"/>
          <w:szCs w:val="28"/>
        </w:rPr>
        <w:t xml:space="preserve"> trao Quyết định niêm yết và chào mừng ngày giao dịch chính thức cổ phiếu </w:t>
      </w:r>
      <w:r w:rsidR="00CE3B6B" w:rsidRPr="00BF0430">
        <w:rPr>
          <w:rFonts w:ascii="Times New Roman" w:hAnsi="Times New Roman" w:cs="Times New Roman"/>
          <w:sz w:val="28"/>
          <w:szCs w:val="28"/>
        </w:rPr>
        <w:t xml:space="preserve">Tổng Công ty Phát điện 3 </w:t>
      </w:r>
      <w:r w:rsidR="00A916B4" w:rsidRPr="00BF0430">
        <w:rPr>
          <w:rFonts w:ascii="Times New Roman" w:hAnsi="Times New Roman" w:cs="Times New Roman"/>
          <w:sz w:val="28"/>
          <w:szCs w:val="28"/>
        </w:rPr>
        <w:t>-</w:t>
      </w:r>
      <w:r w:rsidR="00CE3B6B" w:rsidRPr="00BF0430">
        <w:rPr>
          <w:rFonts w:ascii="Times New Roman" w:hAnsi="Times New Roman" w:cs="Times New Roman"/>
          <w:sz w:val="28"/>
          <w:szCs w:val="28"/>
        </w:rPr>
        <w:t xml:space="preserve"> CTCP </w:t>
      </w:r>
      <w:r w:rsidR="0044317A" w:rsidRPr="00BF0430">
        <w:rPr>
          <w:rFonts w:ascii="Times New Roman" w:hAnsi="Times New Roman" w:cs="Times New Roman"/>
          <w:sz w:val="28"/>
          <w:szCs w:val="28"/>
        </w:rPr>
        <w:t>(EVN</w:t>
      </w:r>
      <w:r w:rsidR="0044317A" w:rsidRPr="00BF0430">
        <w:rPr>
          <w:rFonts w:ascii="Times New Roman" w:hAnsi="Times New Roman" w:cs="Times New Roman"/>
          <w:i/>
          <w:iCs/>
          <w:sz w:val="28"/>
          <w:szCs w:val="28"/>
        </w:rPr>
        <w:t>GENCO3</w:t>
      </w:r>
      <w:r w:rsidR="0044317A" w:rsidRPr="00BF0430">
        <w:rPr>
          <w:rFonts w:ascii="Times New Roman" w:hAnsi="Times New Roman" w:cs="Times New Roman"/>
          <w:sz w:val="28"/>
          <w:szCs w:val="28"/>
        </w:rPr>
        <w:t xml:space="preserve">) </w:t>
      </w:r>
      <w:r w:rsidR="00CE3B6B" w:rsidRPr="00BF0430">
        <w:rPr>
          <w:rFonts w:ascii="Times New Roman" w:hAnsi="Times New Roman" w:cs="Times New Roman"/>
          <w:sz w:val="28"/>
          <w:szCs w:val="28"/>
        </w:rPr>
        <w:t>với mã chứng khoán PGV trên sàn HOSE</w:t>
      </w:r>
      <w:r w:rsidR="00374A32" w:rsidRPr="00BF0430">
        <w:rPr>
          <w:rFonts w:ascii="Times New Roman" w:hAnsi="Times New Roman" w:cs="Times New Roman"/>
          <w:sz w:val="28"/>
          <w:szCs w:val="28"/>
        </w:rPr>
        <w:t>. Theo đó,</w:t>
      </w:r>
      <w:r w:rsidR="00374A32" w:rsidRPr="00BF0430">
        <w:rPr>
          <w:rFonts w:ascii="Times New Roman" w:hAnsi="Times New Roman" w:cs="Times New Roman"/>
          <w:b/>
          <w:sz w:val="28"/>
          <w:szCs w:val="28"/>
        </w:rPr>
        <w:t xml:space="preserve"> 1.123.468.046 cổ phiếu PGV </w:t>
      </w:r>
      <w:r w:rsidR="00374A32" w:rsidRPr="00BF0430">
        <w:rPr>
          <w:rFonts w:ascii="Times New Roman" w:hAnsi="Times New Roman" w:cs="Times New Roman"/>
          <w:sz w:val="28"/>
          <w:szCs w:val="28"/>
        </w:rPr>
        <w:t xml:space="preserve">sẽ chính thức được chào sàn với giá tham chiếu phiên giao dịch đầu tiên là </w:t>
      </w:r>
      <w:r w:rsidR="00374A32" w:rsidRPr="00BF0430">
        <w:rPr>
          <w:rFonts w:ascii="Times New Roman" w:hAnsi="Times New Roman" w:cs="Times New Roman"/>
          <w:b/>
          <w:sz w:val="28"/>
          <w:szCs w:val="28"/>
        </w:rPr>
        <w:t>39.480</w:t>
      </w:r>
      <w:r w:rsidR="00374A32" w:rsidRPr="00BF0430">
        <w:rPr>
          <w:rFonts w:ascii="Times New Roman" w:hAnsi="Times New Roman" w:cs="Times New Roman"/>
          <w:sz w:val="28"/>
          <w:szCs w:val="28"/>
        </w:rPr>
        <w:t xml:space="preserve"> </w:t>
      </w:r>
      <w:r w:rsidR="00374A32" w:rsidRPr="00BF0430">
        <w:rPr>
          <w:rFonts w:ascii="Times New Roman" w:hAnsi="Times New Roman" w:cs="Times New Roman"/>
          <w:b/>
          <w:sz w:val="28"/>
          <w:szCs w:val="28"/>
        </w:rPr>
        <w:t>đồng</w:t>
      </w:r>
      <w:r w:rsidR="00374A32" w:rsidRPr="00BF0430">
        <w:rPr>
          <w:rFonts w:ascii="Times New Roman" w:hAnsi="Times New Roman" w:cs="Times New Roman"/>
          <w:sz w:val="28"/>
          <w:szCs w:val="28"/>
        </w:rPr>
        <w:t>/cổ phiếu, đồng thời Tổng Công ty Phát điệ</w:t>
      </w:r>
      <w:r w:rsidR="00AB3BD1">
        <w:rPr>
          <w:rFonts w:ascii="Times New Roman" w:hAnsi="Times New Roman" w:cs="Times New Roman"/>
          <w:sz w:val="28"/>
          <w:szCs w:val="28"/>
        </w:rPr>
        <w:t>n 3 - CTCP</w:t>
      </w:r>
      <w:r w:rsidR="00374A32" w:rsidRPr="00BF0430">
        <w:rPr>
          <w:rFonts w:ascii="Times New Roman" w:hAnsi="Times New Roman" w:cs="Times New Roman"/>
          <w:sz w:val="28"/>
          <w:szCs w:val="28"/>
        </w:rPr>
        <w:t xml:space="preserve"> sẽ trở thành thành viên chính thức niêm yết trên </w:t>
      </w:r>
      <w:r w:rsidR="00782F86" w:rsidRPr="00BF0430">
        <w:rPr>
          <w:rFonts w:ascii="Times New Roman" w:hAnsi="Times New Roman" w:cs="Times New Roman"/>
          <w:sz w:val="28"/>
          <w:szCs w:val="28"/>
        </w:rPr>
        <w:t>Sở Giao dịch Chứng khoán Thành phố Hồ Chí Minh</w:t>
      </w:r>
      <w:r w:rsidR="00374A32" w:rsidRPr="00BF0430">
        <w:rPr>
          <w:rFonts w:ascii="Times New Roman" w:hAnsi="Times New Roman" w:cs="Times New Roman"/>
          <w:sz w:val="28"/>
          <w:szCs w:val="28"/>
        </w:rPr>
        <w:t>.</w:t>
      </w:r>
    </w:p>
    <w:p w14:paraId="013657B9" w14:textId="03C6A877" w:rsidR="00004447" w:rsidRPr="00BF0430" w:rsidRDefault="00004447" w:rsidP="00374A32">
      <w:pPr>
        <w:jc w:val="both"/>
        <w:rPr>
          <w:rFonts w:ascii="Times New Roman" w:hAnsi="Times New Roman" w:cs="Times New Roman"/>
          <w:sz w:val="28"/>
          <w:szCs w:val="28"/>
        </w:rPr>
      </w:pPr>
      <w:r w:rsidRPr="00BF0430">
        <w:rPr>
          <w:rFonts w:ascii="Times New Roman" w:hAnsi="Times New Roman" w:cs="Times New Roman"/>
          <w:sz w:val="28"/>
          <w:szCs w:val="28"/>
        </w:rPr>
        <w:t xml:space="preserve">Tham dự buổi lễ có ông Lê Hải Trà - Tổng Giám đốc </w:t>
      </w:r>
      <w:r>
        <w:rPr>
          <w:rFonts w:ascii="Times New Roman" w:hAnsi="Times New Roman" w:cs="Times New Roman"/>
          <w:sz w:val="28"/>
          <w:szCs w:val="28"/>
        </w:rPr>
        <w:t>HOSE</w:t>
      </w:r>
      <w:r w:rsidRPr="00BF0430">
        <w:rPr>
          <w:rFonts w:ascii="Times New Roman" w:hAnsi="Times New Roman" w:cs="Times New Roman"/>
          <w:sz w:val="28"/>
          <w:szCs w:val="28"/>
        </w:rPr>
        <w:t xml:space="preserve"> và bà Trần Anh Đào - Phó Tổng Giám đốc </w:t>
      </w:r>
      <w:r>
        <w:rPr>
          <w:rFonts w:ascii="Times New Roman" w:hAnsi="Times New Roman" w:cs="Times New Roman"/>
          <w:sz w:val="28"/>
          <w:szCs w:val="28"/>
        </w:rPr>
        <w:t>HOSE</w:t>
      </w:r>
      <w:r w:rsidRPr="00CE23F9">
        <w:rPr>
          <w:rFonts w:ascii="Times New Roman" w:hAnsi="Times New Roman" w:cs="Times New Roman"/>
          <w:sz w:val="28"/>
          <w:szCs w:val="28"/>
        </w:rPr>
        <w:t xml:space="preserve">, </w:t>
      </w:r>
      <w:r w:rsidRPr="00C579DA">
        <w:rPr>
          <w:rFonts w:ascii="Times New Roman" w:hAnsi="Times New Roman" w:cs="Times New Roman"/>
          <w:sz w:val="28"/>
          <w:szCs w:val="28"/>
        </w:rPr>
        <w:t>ông Dương Quang Thành - Chủ tịch Hội đồng thành viên Tập đoàn Điện lực Việ</w:t>
      </w:r>
      <w:r w:rsidR="009006F7">
        <w:rPr>
          <w:rFonts w:ascii="Times New Roman" w:hAnsi="Times New Roman" w:cs="Times New Roman"/>
          <w:sz w:val="28"/>
          <w:szCs w:val="28"/>
        </w:rPr>
        <w:t>t Nam, ông Nguyễn Đức</w:t>
      </w:r>
      <w:r w:rsidRPr="00C579DA">
        <w:rPr>
          <w:rFonts w:ascii="Times New Roman" w:hAnsi="Times New Roman" w:cs="Times New Roman"/>
          <w:sz w:val="28"/>
          <w:szCs w:val="28"/>
        </w:rPr>
        <w:t xml:space="preserve"> Cường - Thành viên Hội đồng thành viên Tập đoàn Điện lực Việt Nam; Ông Trần Xuân Điền - Bí thư Đảng Ủy Khối cơ sở Bộ Công Thương tại TP</w:t>
      </w:r>
      <w:r w:rsidR="00C579DA">
        <w:rPr>
          <w:rFonts w:ascii="Times New Roman" w:hAnsi="Times New Roman" w:cs="Times New Roman"/>
          <w:sz w:val="28"/>
          <w:szCs w:val="28"/>
        </w:rPr>
        <w:t>.</w:t>
      </w:r>
      <w:r w:rsidRPr="00C579DA">
        <w:rPr>
          <w:rFonts w:ascii="Times New Roman" w:hAnsi="Times New Roman" w:cs="Times New Roman"/>
          <w:sz w:val="28"/>
          <w:szCs w:val="28"/>
        </w:rPr>
        <w:t xml:space="preserve">HCM. </w:t>
      </w:r>
      <w:r w:rsidRPr="00BF0430">
        <w:rPr>
          <w:rFonts w:ascii="Times New Roman" w:hAnsi="Times New Roman" w:cs="Times New Roman"/>
          <w:sz w:val="28"/>
          <w:szCs w:val="28"/>
        </w:rPr>
        <w:t xml:space="preserve">Về phía Tổng Công ty Phát điện 3 - CTCP có ông Đinh Quốc Lâm - Chủ tịch Hội đồng quản trị Tổng Công ty và ông Lê Văn Danh - Tổng Giám đốc Tổng Công ty, cùng các thành viên trong HĐQT, </w:t>
      </w:r>
      <w:r>
        <w:rPr>
          <w:rFonts w:ascii="Times New Roman" w:hAnsi="Times New Roman" w:cs="Times New Roman"/>
          <w:sz w:val="28"/>
          <w:szCs w:val="28"/>
        </w:rPr>
        <w:t>B</w:t>
      </w:r>
      <w:r w:rsidRPr="00BF0430">
        <w:rPr>
          <w:rFonts w:ascii="Times New Roman" w:hAnsi="Times New Roman" w:cs="Times New Roman"/>
          <w:sz w:val="28"/>
          <w:szCs w:val="28"/>
        </w:rPr>
        <w:t>an TGĐ, đối tác, khách hàng cũng như các đơn vị báo chí, truyền thông.</w:t>
      </w:r>
    </w:p>
    <w:p w14:paraId="7DBC086A" w14:textId="77231000" w:rsidR="00243B14" w:rsidRPr="00BF0430" w:rsidRDefault="00D42F82" w:rsidP="00695186">
      <w:pPr>
        <w:jc w:val="both"/>
        <w:rPr>
          <w:rFonts w:ascii="Times New Roman" w:hAnsi="Times New Roman" w:cs="Times New Roman"/>
          <w:sz w:val="28"/>
          <w:szCs w:val="28"/>
        </w:rPr>
      </w:pPr>
      <w:bookmarkStart w:id="0" w:name="_Hlk95231443"/>
      <w:r w:rsidRPr="00BF0430">
        <w:rPr>
          <w:rFonts w:ascii="Times New Roman" w:hAnsi="Times New Roman" w:cs="Times New Roman"/>
          <w:sz w:val="28"/>
          <w:szCs w:val="28"/>
        </w:rPr>
        <w:t xml:space="preserve">Sau </w:t>
      </w:r>
      <w:r>
        <w:rPr>
          <w:rFonts w:ascii="Times New Roman" w:hAnsi="Times New Roman" w:cs="Times New Roman"/>
          <w:sz w:val="28"/>
          <w:szCs w:val="28"/>
        </w:rPr>
        <w:t>gần 4</w:t>
      </w:r>
      <w:r w:rsidRPr="00BF0430">
        <w:rPr>
          <w:rFonts w:ascii="Times New Roman" w:hAnsi="Times New Roman" w:cs="Times New Roman"/>
          <w:sz w:val="28"/>
          <w:szCs w:val="28"/>
        </w:rPr>
        <w:t xml:space="preserve"> năm giao dịch trên sàn UPCOM</w:t>
      </w:r>
      <w:bookmarkEnd w:id="0"/>
      <w:r w:rsidRPr="00BF0430">
        <w:rPr>
          <w:rFonts w:ascii="Times New Roman" w:hAnsi="Times New Roman" w:cs="Times New Roman"/>
          <w:sz w:val="28"/>
          <w:szCs w:val="28"/>
        </w:rPr>
        <w:t xml:space="preserve">, cổ phiếu PGV đã </w:t>
      </w:r>
      <w:r w:rsidRPr="00D42F82">
        <w:rPr>
          <w:rFonts w:ascii="Times New Roman" w:hAnsi="Times New Roman" w:cs="Times New Roman"/>
          <w:sz w:val="28"/>
          <w:szCs w:val="28"/>
        </w:rPr>
        <w:t xml:space="preserve">được chấp thuận </w:t>
      </w:r>
      <w:r w:rsidRPr="00BF0430">
        <w:rPr>
          <w:rFonts w:ascii="Times New Roman" w:hAnsi="Times New Roman" w:cs="Times New Roman"/>
          <w:sz w:val="28"/>
          <w:szCs w:val="28"/>
        </w:rPr>
        <w:t xml:space="preserve">chuyển sang niêm yết tại HOSE, với những chuẩn mực cao hơn trong hoạt động niêm yết, công bố thông tin và quản trị công ty đại chúng quy mô lớn, </w:t>
      </w:r>
      <w:r w:rsidRPr="00D42F82">
        <w:rPr>
          <w:rFonts w:ascii="Times New Roman" w:hAnsi="Times New Roman" w:cs="Times New Roman"/>
          <w:sz w:val="28"/>
          <w:szCs w:val="28"/>
        </w:rPr>
        <w:t>đánh dấu cột mốc quan trọng và mở ra nhiều cơ hội mới, đưa cổ phiếu PGV đến gần hơn với các Nhà đầu tư lớn trong và ngoài nước để tiếp tục thúc đẩy quá trình tái cơ cấu theo định hướng chiến lược phát triển của Tổng Công ty Phát điện 3 - CTCP.</w:t>
      </w:r>
    </w:p>
    <w:p w14:paraId="4027923B" w14:textId="713AA386" w:rsidR="00AF67F5" w:rsidRDefault="00D42F82" w:rsidP="00695186">
      <w:pPr>
        <w:jc w:val="both"/>
        <w:rPr>
          <w:rFonts w:ascii="Times New Roman" w:hAnsi="Times New Roman" w:cs="Times New Roman"/>
          <w:sz w:val="28"/>
          <w:szCs w:val="28"/>
        </w:rPr>
      </w:pPr>
      <w:r w:rsidRPr="00CE23F9">
        <w:rPr>
          <w:rFonts w:ascii="Times New Roman" w:hAnsi="Times New Roman" w:cs="Times New Roman"/>
          <w:sz w:val="28"/>
          <w:szCs w:val="28"/>
        </w:rPr>
        <w:t xml:space="preserve">Tổng Công ty Phát điện 3 </w:t>
      </w:r>
      <w:bookmarkStart w:id="1" w:name="_Hlk95232126"/>
      <w:r w:rsidRPr="00CE23F9">
        <w:rPr>
          <w:rFonts w:ascii="Times New Roman" w:hAnsi="Times New Roman" w:cs="Times New Roman"/>
          <w:sz w:val="28"/>
          <w:szCs w:val="28"/>
        </w:rPr>
        <w:t>được thành lập theo Quyết định số 3025/QĐ-BCT</w:t>
      </w:r>
      <w:r w:rsidRPr="00CE23F9">
        <w:rPr>
          <w:rFonts w:ascii="Times New Roman" w:hAnsi="Times New Roman" w:cs="Times New Roman"/>
          <w:spacing w:val="-2"/>
          <w:sz w:val="28"/>
          <w:szCs w:val="28"/>
          <w:shd w:val="clear" w:color="auto" w:fill="FFFFFF"/>
        </w:rPr>
        <w:t xml:space="preserve"> ngày 01/06/</w:t>
      </w:r>
      <w:r w:rsidRPr="00D42F82">
        <w:rPr>
          <w:rFonts w:ascii="Times New Roman" w:hAnsi="Times New Roman" w:cs="Times New Roman"/>
          <w:sz w:val="28"/>
          <w:szCs w:val="28"/>
        </w:rPr>
        <w:t>2012</w:t>
      </w:r>
      <w:r w:rsidRPr="00CE23F9">
        <w:rPr>
          <w:rFonts w:ascii="Times New Roman" w:hAnsi="Times New Roman" w:cs="Times New Roman"/>
          <w:sz w:val="28"/>
          <w:szCs w:val="28"/>
        </w:rPr>
        <w:t xml:space="preserve"> của Bộ Công Thương</w:t>
      </w:r>
      <w:r w:rsidRPr="00BF0430">
        <w:rPr>
          <w:rFonts w:ascii="Times New Roman" w:hAnsi="Times New Roman" w:cs="Times New Roman"/>
          <w:sz w:val="28"/>
          <w:szCs w:val="28"/>
        </w:rPr>
        <w:t xml:space="preserve">. Trải qua 10 năm phát triển, </w:t>
      </w:r>
      <w:bookmarkEnd w:id="1"/>
      <w:r w:rsidRPr="00BF0430">
        <w:rPr>
          <w:rFonts w:ascii="Times New Roman" w:hAnsi="Times New Roman" w:cs="Times New Roman"/>
          <w:sz w:val="28"/>
          <w:szCs w:val="28"/>
        </w:rPr>
        <w:t>Tổng Công ty Phát điện 3 hoạt động chính trong các lĩnh vực sản xuất điện, đầu tư và quản lý dự án nguồn điện, dịch vụ sửa chữa và bảo dưỡng các nhà máy điện, vận hành nhà máy điện</w:t>
      </w:r>
      <w:r>
        <w:rPr>
          <w:rFonts w:ascii="Times New Roman" w:hAnsi="Times New Roman" w:cs="Times New Roman"/>
          <w:sz w:val="28"/>
          <w:szCs w:val="28"/>
        </w:rPr>
        <w:t>,</w:t>
      </w:r>
      <w:r w:rsidRPr="00BF0430">
        <w:rPr>
          <w:rFonts w:ascii="Times New Roman" w:hAnsi="Times New Roman" w:cs="Times New Roman"/>
          <w:sz w:val="28"/>
          <w:szCs w:val="28"/>
        </w:rPr>
        <w:t xml:space="preserve"> EVN</w:t>
      </w:r>
      <w:r w:rsidRPr="00503C1B">
        <w:rPr>
          <w:rFonts w:ascii="Times New Roman" w:hAnsi="Times New Roman" w:cs="Times New Roman"/>
          <w:i/>
          <w:iCs/>
          <w:sz w:val="28"/>
          <w:szCs w:val="28"/>
        </w:rPr>
        <w:t>GENCO3</w:t>
      </w:r>
      <w:r w:rsidRPr="00BF0430">
        <w:rPr>
          <w:rFonts w:ascii="Times New Roman" w:hAnsi="Times New Roman" w:cs="Times New Roman"/>
          <w:sz w:val="28"/>
          <w:szCs w:val="28"/>
        </w:rPr>
        <w:t xml:space="preserve"> đã không ngừng phát triển và trở thành một trong những thương hiệu mạnh </w:t>
      </w:r>
      <w:r w:rsidRPr="00D42F82">
        <w:rPr>
          <w:rFonts w:ascii="Times New Roman" w:hAnsi="Times New Roman" w:cs="Times New Roman"/>
          <w:sz w:val="28"/>
          <w:szCs w:val="28"/>
        </w:rPr>
        <w:t xml:space="preserve">nhất </w:t>
      </w:r>
      <w:r w:rsidRPr="00BF0430">
        <w:rPr>
          <w:rFonts w:ascii="Times New Roman" w:hAnsi="Times New Roman" w:cs="Times New Roman"/>
          <w:sz w:val="28"/>
          <w:szCs w:val="28"/>
        </w:rPr>
        <w:t>trong ngành năng lượng Việt Nam</w:t>
      </w:r>
      <w:r w:rsidRPr="00D42F82">
        <w:rPr>
          <w:rFonts w:ascii="Times New Roman" w:hAnsi="Times New Roman" w:cs="Times New Roman"/>
          <w:sz w:val="28"/>
          <w:szCs w:val="28"/>
        </w:rPr>
        <w:t xml:space="preserve">, luôn hoàn thành sứ mệnh tham gia đảm bảo cung ứng điện cho phát triển kinh tế xã hội thông qua việc vận hành an toàn, tin cậy các nhà máy điện, đã quản lý đầu tư xây dựng và đưa vào vận hành các nhà máy điện mới với tổng công suất khoảng </w:t>
      </w:r>
      <w:r w:rsidRPr="00C579DA">
        <w:rPr>
          <w:rFonts w:ascii="Times New Roman" w:hAnsi="Times New Roman" w:cs="Times New Roman"/>
          <w:b/>
          <w:bCs/>
          <w:sz w:val="28"/>
          <w:szCs w:val="28"/>
        </w:rPr>
        <w:t>5.200 MW</w:t>
      </w:r>
      <w:r w:rsidRPr="00D42F82">
        <w:rPr>
          <w:rFonts w:ascii="Times New Roman" w:hAnsi="Times New Roman" w:cs="Times New Roman"/>
          <w:sz w:val="28"/>
          <w:szCs w:val="28"/>
        </w:rPr>
        <w:t xml:space="preserve"> (bao gồm các nhà máy điện của EVN và EVN</w:t>
      </w:r>
      <w:r w:rsidRPr="00503C1B">
        <w:rPr>
          <w:rFonts w:ascii="Times New Roman" w:hAnsi="Times New Roman" w:cs="Times New Roman"/>
          <w:i/>
          <w:iCs/>
          <w:sz w:val="28"/>
          <w:szCs w:val="28"/>
        </w:rPr>
        <w:t>GENCO3</w:t>
      </w:r>
      <w:r w:rsidRPr="00D42F82">
        <w:rPr>
          <w:rFonts w:ascii="Times New Roman" w:hAnsi="Times New Roman" w:cs="Times New Roman"/>
          <w:sz w:val="28"/>
          <w:szCs w:val="28"/>
        </w:rPr>
        <w:t xml:space="preserve"> làm chủ đầu tư). Đến </w:t>
      </w:r>
      <w:r w:rsidR="00C579DA">
        <w:rPr>
          <w:rFonts w:ascii="Times New Roman" w:hAnsi="Times New Roman" w:cs="Times New Roman"/>
          <w:noProof/>
          <w:sz w:val="28"/>
          <w:szCs w:val="28"/>
          <w:lang w:val="en-US"/>
        </w:rPr>
        <w:lastRenderedPageBreak/>
        <w:drawing>
          <wp:anchor distT="0" distB="0" distL="114300" distR="114300" simplePos="0" relativeHeight="251661312" behindDoc="1" locked="0" layoutInCell="1" allowOverlap="1" wp14:anchorId="68D9B9F4" wp14:editId="03EB38C0">
            <wp:simplePos x="0" y="0"/>
            <wp:positionH relativeFrom="margin">
              <wp:posOffset>-353695</wp:posOffset>
            </wp:positionH>
            <wp:positionV relativeFrom="paragraph">
              <wp:posOffset>-215053</wp:posOffset>
            </wp:positionV>
            <wp:extent cx="6433820" cy="9787255"/>
            <wp:effectExtent l="0" t="0" r="508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kit_blue-border-png_1292785 - Copy.png"/>
                    <pic:cNvPicPr/>
                  </pic:nvPicPr>
                  <pic:blipFill>
                    <a:blip r:embed="rId7">
                      <a:extLst>
                        <a:ext uri="{28A0092B-C50C-407E-A947-70E740481C1C}">
                          <a14:useLocalDpi xmlns:a14="http://schemas.microsoft.com/office/drawing/2010/main" val="0"/>
                        </a:ext>
                      </a:extLst>
                    </a:blip>
                    <a:stretch>
                      <a:fillRect/>
                    </a:stretch>
                  </pic:blipFill>
                  <pic:spPr>
                    <a:xfrm>
                      <a:off x="0" y="0"/>
                      <a:ext cx="6433820" cy="9787255"/>
                    </a:xfrm>
                    <a:prstGeom prst="rect">
                      <a:avLst/>
                    </a:prstGeom>
                  </pic:spPr>
                </pic:pic>
              </a:graphicData>
            </a:graphic>
            <wp14:sizeRelH relativeFrom="page">
              <wp14:pctWidth>0</wp14:pctWidth>
            </wp14:sizeRelH>
            <wp14:sizeRelV relativeFrom="page">
              <wp14:pctHeight>0</wp14:pctHeight>
            </wp14:sizeRelV>
          </wp:anchor>
        </w:drawing>
      </w:r>
      <w:r w:rsidRPr="00D42F82">
        <w:rPr>
          <w:rFonts w:ascii="Times New Roman" w:hAnsi="Times New Roman" w:cs="Times New Roman"/>
          <w:sz w:val="28"/>
          <w:szCs w:val="28"/>
        </w:rPr>
        <w:t>nay, tổng công suất lắp đặt của EVN</w:t>
      </w:r>
      <w:r w:rsidRPr="00503C1B">
        <w:rPr>
          <w:rFonts w:ascii="Times New Roman" w:hAnsi="Times New Roman" w:cs="Times New Roman"/>
          <w:i/>
          <w:iCs/>
          <w:sz w:val="28"/>
          <w:szCs w:val="28"/>
        </w:rPr>
        <w:t>GENCO3</w:t>
      </w:r>
      <w:r w:rsidRPr="00D42F82">
        <w:rPr>
          <w:rFonts w:ascii="Times New Roman" w:hAnsi="Times New Roman" w:cs="Times New Roman"/>
          <w:sz w:val="28"/>
          <w:szCs w:val="28"/>
        </w:rPr>
        <w:t xml:space="preserve"> (bao gồm các công ty cổ phần có vốn góp từ 30% trở lên) đạt </w:t>
      </w:r>
      <w:r w:rsidRPr="008650DC">
        <w:rPr>
          <w:rFonts w:ascii="Times New Roman" w:hAnsi="Times New Roman" w:cs="Times New Roman"/>
          <w:b/>
          <w:bCs/>
          <w:sz w:val="28"/>
          <w:szCs w:val="28"/>
        </w:rPr>
        <w:t>6.560MW</w:t>
      </w:r>
      <w:r w:rsidRPr="00D42F82">
        <w:rPr>
          <w:rFonts w:ascii="Times New Roman" w:hAnsi="Times New Roman" w:cs="Times New Roman"/>
          <w:sz w:val="28"/>
          <w:szCs w:val="28"/>
        </w:rPr>
        <w:t xml:space="preserve">, tương ứng khoảng </w:t>
      </w:r>
      <w:r w:rsidRPr="008650DC">
        <w:rPr>
          <w:rFonts w:ascii="Times New Roman" w:hAnsi="Times New Roman" w:cs="Times New Roman"/>
          <w:b/>
          <w:bCs/>
          <w:sz w:val="28"/>
          <w:szCs w:val="28"/>
        </w:rPr>
        <w:t>8,6%</w:t>
      </w:r>
      <w:r w:rsidRPr="00D42F82">
        <w:rPr>
          <w:rFonts w:ascii="Times New Roman" w:hAnsi="Times New Roman" w:cs="Times New Roman"/>
          <w:sz w:val="28"/>
          <w:szCs w:val="28"/>
        </w:rPr>
        <w:t xml:space="preserve"> công suất của Hệ thống điện Việt Nam.</w:t>
      </w:r>
    </w:p>
    <w:p w14:paraId="701970F0" w14:textId="4A8B1263" w:rsidR="00D42F82" w:rsidRPr="00D64492" w:rsidRDefault="00D42F82" w:rsidP="00695186">
      <w:pPr>
        <w:jc w:val="both"/>
        <w:rPr>
          <w:rFonts w:ascii="Times New Roman" w:hAnsi="Times New Roman" w:cs="Times New Roman"/>
          <w:sz w:val="28"/>
          <w:szCs w:val="28"/>
          <w:lang w:val="af-ZA"/>
        </w:rPr>
      </w:pPr>
      <w:bookmarkStart w:id="2" w:name="_Hlk95233014"/>
      <w:r w:rsidRPr="00D42F82">
        <w:rPr>
          <w:rFonts w:ascii="Times New Roman" w:hAnsi="Times New Roman" w:cs="Times New Roman"/>
          <w:sz w:val="28"/>
          <w:szCs w:val="28"/>
        </w:rPr>
        <w:t xml:space="preserve">Kết quả năm 2021, </w:t>
      </w:r>
      <w:r w:rsidRPr="00D42F82">
        <w:rPr>
          <w:rFonts w:ascii="Times New Roman" w:hAnsi="Times New Roman" w:cs="Times New Roman"/>
          <w:sz w:val="28"/>
          <w:szCs w:val="28"/>
          <w:lang w:val="af-ZA"/>
        </w:rPr>
        <w:t xml:space="preserve">sản lượng điện sản xuất của </w:t>
      </w:r>
      <w:r w:rsidR="00200054">
        <w:rPr>
          <w:rFonts w:ascii="Times New Roman" w:hAnsi="Times New Roman" w:cs="Times New Roman"/>
          <w:sz w:val="28"/>
          <w:szCs w:val="28"/>
          <w:lang w:val="af-ZA"/>
        </w:rPr>
        <w:t xml:space="preserve">Tổng </w:t>
      </w:r>
      <w:r w:rsidRPr="00D42F82">
        <w:rPr>
          <w:rFonts w:ascii="Times New Roman" w:hAnsi="Times New Roman" w:cs="Times New Roman"/>
          <w:sz w:val="28"/>
          <w:szCs w:val="28"/>
          <w:lang w:val="af-ZA"/>
        </w:rPr>
        <w:t xml:space="preserve">Công ty đạt </w:t>
      </w:r>
      <w:r w:rsidRPr="00D42F82">
        <w:rPr>
          <w:rFonts w:ascii="Times New Roman" w:hAnsi="Times New Roman" w:cs="Times New Roman"/>
          <w:b/>
          <w:bCs/>
          <w:sz w:val="28"/>
          <w:szCs w:val="28"/>
          <w:lang w:val="af-ZA"/>
        </w:rPr>
        <w:t>2</w:t>
      </w:r>
      <w:r w:rsidR="00200054">
        <w:rPr>
          <w:rFonts w:ascii="Times New Roman" w:hAnsi="Times New Roman" w:cs="Times New Roman"/>
          <w:b/>
          <w:bCs/>
          <w:sz w:val="28"/>
          <w:szCs w:val="28"/>
          <w:lang w:val="af-ZA"/>
        </w:rPr>
        <w:t>9,6</w:t>
      </w:r>
      <w:r w:rsidRPr="00D42F82">
        <w:rPr>
          <w:rFonts w:ascii="Times New Roman" w:hAnsi="Times New Roman" w:cs="Times New Roman"/>
          <w:b/>
          <w:bCs/>
          <w:sz w:val="28"/>
          <w:szCs w:val="28"/>
          <w:lang w:val="af-ZA"/>
        </w:rPr>
        <w:t xml:space="preserve"> tỷ kWh</w:t>
      </w:r>
      <w:r w:rsidR="00200054">
        <w:rPr>
          <w:rFonts w:ascii="Times New Roman" w:hAnsi="Times New Roman" w:cs="Times New Roman"/>
          <w:b/>
          <w:bCs/>
          <w:sz w:val="28"/>
          <w:szCs w:val="28"/>
          <w:lang w:val="af-ZA"/>
        </w:rPr>
        <w:t xml:space="preserve">, </w:t>
      </w:r>
      <w:r w:rsidR="00200054" w:rsidRPr="00D42F82">
        <w:rPr>
          <w:rFonts w:ascii="Times New Roman" w:hAnsi="Times New Roman" w:cs="Times New Roman"/>
          <w:sz w:val="28"/>
          <w:szCs w:val="28"/>
          <w:lang w:val="af-ZA"/>
        </w:rPr>
        <w:t>chiế</w:t>
      </w:r>
      <w:r w:rsidR="00200054">
        <w:rPr>
          <w:rFonts w:ascii="Times New Roman" w:hAnsi="Times New Roman" w:cs="Times New Roman"/>
          <w:sz w:val="28"/>
          <w:szCs w:val="28"/>
          <w:lang w:val="af-ZA"/>
        </w:rPr>
        <w:t>m</w:t>
      </w:r>
      <w:r w:rsidR="00200054" w:rsidRPr="00D42F82">
        <w:rPr>
          <w:rFonts w:ascii="Times New Roman" w:hAnsi="Times New Roman" w:cs="Times New Roman"/>
          <w:sz w:val="28"/>
          <w:szCs w:val="28"/>
          <w:lang w:val="af-ZA"/>
        </w:rPr>
        <w:t xml:space="preserve"> </w:t>
      </w:r>
      <w:r w:rsidR="00200054" w:rsidRPr="008650DC">
        <w:rPr>
          <w:rFonts w:ascii="Times New Roman" w:hAnsi="Times New Roman" w:cs="Times New Roman"/>
          <w:b/>
          <w:bCs/>
          <w:sz w:val="28"/>
          <w:szCs w:val="28"/>
          <w:lang w:val="af-ZA"/>
        </w:rPr>
        <w:t>11,53%</w:t>
      </w:r>
      <w:r w:rsidR="00200054" w:rsidRPr="00D42F82">
        <w:rPr>
          <w:rFonts w:ascii="Times New Roman" w:hAnsi="Times New Roman" w:cs="Times New Roman"/>
          <w:sz w:val="28"/>
          <w:szCs w:val="28"/>
          <w:lang w:val="af-ZA"/>
        </w:rPr>
        <w:t xml:space="preserve"> </w:t>
      </w:r>
      <w:r w:rsidR="00200054">
        <w:rPr>
          <w:rFonts w:ascii="Times New Roman" w:hAnsi="Times New Roman" w:cs="Times New Roman"/>
          <w:sz w:val="28"/>
          <w:szCs w:val="28"/>
          <w:lang w:val="af-ZA"/>
        </w:rPr>
        <w:t xml:space="preserve">sản lượng điện toàn hệ thống </w:t>
      </w:r>
      <w:r w:rsidR="00200054" w:rsidRPr="00D42F82">
        <w:rPr>
          <w:rFonts w:ascii="Times New Roman" w:hAnsi="Times New Roman" w:cs="Times New Roman"/>
          <w:sz w:val="28"/>
          <w:szCs w:val="28"/>
          <w:lang w:val="af-ZA"/>
        </w:rPr>
        <w:t>điện Việt Nam</w:t>
      </w:r>
      <w:r w:rsidR="00200054">
        <w:rPr>
          <w:rFonts w:ascii="Times New Roman" w:hAnsi="Times New Roman" w:cs="Times New Roman"/>
          <w:sz w:val="28"/>
          <w:szCs w:val="28"/>
          <w:lang w:val="af-ZA"/>
        </w:rPr>
        <w:t>. L</w:t>
      </w:r>
      <w:r w:rsidRPr="00D42F82">
        <w:rPr>
          <w:rFonts w:ascii="Times New Roman" w:hAnsi="Times New Roman" w:cs="Times New Roman"/>
          <w:sz w:val="28"/>
          <w:szCs w:val="28"/>
          <w:lang w:val="af-ZA"/>
        </w:rPr>
        <w:t>ợi nhuận sau thuế EVN</w:t>
      </w:r>
      <w:r w:rsidRPr="00D42F82">
        <w:rPr>
          <w:rFonts w:ascii="Times New Roman" w:hAnsi="Times New Roman" w:cs="Times New Roman"/>
          <w:i/>
          <w:sz w:val="28"/>
          <w:szCs w:val="28"/>
          <w:lang w:val="af-ZA"/>
        </w:rPr>
        <w:t>GENCO3</w:t>
      </w:r>
      <w:r w:rsidRPr="00D42F82">
        <w:rPr>
          <w:rFonts w:ascii="Times New Roman" w:hAnsi="Times New Roman" w:cs="Times New Roman"/>
          <w:sz w:val="28"/>
          <w:szCs w:val="28"/>
          <w:lang w:val="af-ZA"/>
        </w:rPr>
        <w:t xml:space="preserve"> cả năm 2021 đạt </w:t>
      </w:r>
      <w:r w:rsidRPr="00D42F82">
        <w:rPr>
          <w:rFonts w:ascii="Times New Roman" w:hAnsi="Times New Roman" w:cs="Times New Roman"/>
          <w:b/>
          <w:bCs/>
          <w:sz w:val="28"/>
          <w:szCs w:val="28"/>
          <w:lang w:val="af-ZA"/>
        </w:rPr>
        <w:t>2.947 tỷ đồng</w:t>
      </w:r>
      <w:r w:rsidRPr="00D42F82">
        <w:rPr>
          <w:rFonts w:ascii="Times New Roman" w:hAnsi="Times New Roman" w:cs="Times New Roman"/>
          <w:sz w:val="28"/>
          <w:szCs w:val="28"/>
          <w:lang w:val="af-ZA"/>
        </w:rPr>
        <w:t xml:space="preserve">, vượt </w:t>
      </w:r>
      <w:r w:rsidRPr="00D42F82">
        <w:rPr>
          <w:rFonts w:ascii="Times New Roman" w:hAnsi="Times New Roman" w:cs="Times New Roman"/>
          <w:b/>
          <w:bCs/>
          <w:sz w:val="28"/>
          <w:szCs w:val="28"/>
          <w:lang w:val="af-ZA"/>
        </w:rPr>
        <w:t>125%</w:t>
      </w:r>
      <w:r w:rsidRPr="00D42F82">
        <w:rPr>
          <w:rFonts w:ascii="Times New Roman" w:hAnsi="Times New Roman" w:cs="Times New Roman"/>
          <w:sz w:val="28"/>
          <w:szCs w:val="28"/>
          <w:lang w:val="af-ZA"/>
        </w:rPr>
        <w:t xml:space="preserve"> kế hoạch năm, </w:t>
      </w:r>
      <w:r w:rsidRPr="00D42F82">
        <w:rPr>
          <w:rFonts w:ascii="Times New Roman" w:hAnsi="Times New Roman"/>
          <w:sz w:val="28"/>
          <w:szCs w:val="28"/>
        </w:rPr>
        <w:t xml:space="preserve">tình hình tài chính của </w:t>
      </w:r>
      <w:r w:rsidR="00200054" w:rsidRPr="00D42F82">
        <w:rPr>
          <w:rFonts w:ascii="Times New Roman" w:hAnsi="Times New Roman" w:cs="Times New Roman"/>
          <w:sz w:val="28"/>
          <w:szCs w:val="28"/>
        </w:rPr>
        <w:t>EVN</w:t>
      </w:r>
      <w:r w:rsidR="00200054" w:rsidRPr="00503C1B">
        <w:rPr>
          <w:rFonts w:ascii="Times New Roman" w:hAnsi="Times New Roman" w:cs="Times New Roman"/>
          <w:i/>
          <w:iCs/>
          <w:sz w:val="28"/>
          <w:szCs w:val="28"/>
        </w:rPr>
        <w:t>GENCO3</w:t>
      </w:r>
      <w:r w:rsidR="00200054">
        <w:rPr>
          <w:rFonts w:ascii="Times New Roman" w:hAnsi="Times New Roman" w:cs="Times New Roman"/>
          <w:i/>
          <w:iCs/>
          <w:sz w:val="28"/>
          <w:szCs w:val="28"/>
        </w:rPr>
        <w:t xml:space="preserve"> </w:t>
      </w:r>
      <w:r w:rsidRPr="00D42F82">
        <w:rPr>
          <w:rFonts w:ascii="Times New Roman" w:hAnsi="Times New Roman"/>
          <w:sz w:val="28"/>
          <w:szCs w:val="28"/>
        </w:rPr>
        <w:t>lành mạnh, tỷ lệ nợ/vốn chủ sở hữu đã đạt &lt;3 lần</w:t>
      </w:r>
      <w:r w:rsidRPr="00D42F82">
        <w:rPr>
          <w:rFonts w:ascii="Times New Roman" w:hAnsi="Times New Roman" w:cs="Times New Roman"/>
          <w:sz w:val="28"/>
          <w:szCs w:val="28"/>
          <w:lang w:val="af-ZA"/>
        </w:rPr>
        <w:t>.</w:t>
      </w:r>
      <w:bookmarkEnd w:id="2"/>
      <w:r w:rsidRPr="00D42F82">
        <w:rPr>
          <w:rFonts w:ascii="Times New Roman" w:hAnsi="Times New Roman" w:cs="Times New Roman"/>
          <w:sz w:val="28"/>
          <w:szCs w:val="28"/>
          <w:lang w:val="af-ZA"/>
        </w:rPr>
        <w:t xml:space="preserve"> </w:t>
      </w:r>
    </w:p>
    <w:p w14:paraId="0F0628A4" w14:textId="01D21D57" w:rsidR="00D42F82" w:rsidRPr="00D42F82" w:rsidRDefault="00200054" w:rsidP="00D42F82">
      <w:pPr>
        <w:jc w:val="both"/>
        <w:rPr>
          <w:rFonts w:ascii="Times New Roman" w:hAnsi="Times New Roman"/>
          <w:iCs/>
          <w:sz w:val="28"/>
          <w:szCs w:val="28"/>
          <w:lang w:val="af-ZA"/>
        </w:rPr>
      </w:pPr>
      <w:r>
        <w:rPr>
          <w:rFonts w:ascii="Times New Roman" w:hAnsi="Times New Roman"/>
          <w:sz w:val="28"/>
          <w:szCs w:val="28"/>
          <w:lang w:val="af-ZA"/>
        </w:rPr>
        <w:t>Việc n</w:t>
      </w:r>
      <w:r w:rsidR="00D42F82" w:rsidRPr="00D42F82">
        <w:rPr>
          <w:rFonts w:ascii="Times New Roman" w:hAnsi="Times New Roman"/>
          <w:sz w:val="28"/>
          <w:szCs w:val="28"/>
          <w:lang w:val="af-ZA"/>
        </w:rPr>
        <w:t xml:space="preserve">iêm yết trên sàn HOSE vừa là thách thức </w:t>
      </w:r>
      <w:r>
        <w:rPr>
          <w:rFonts w:ascii="Times New Roman" w:hAnsi="Times New Roman"/>
          <w:sz w:val="28"/>
          <w:szCs w:val="28"/>
          <w:lang w:val="af-ZA"/>
        </w:rPr>
        <w:t>lớn,</w:t>
      </w:r>
      <w:r w:rsidR="00D42F82" w:rsidRPr="00D42F82">
        <w:rPr>
          <w:rFonts w:ascii="Times New Roman" w:hAnsi="Times New Roman"/>
          <w:sz w:val="28"/>
          <w:szCs w:val="28"/>
          <w:lang w:val="af-ZA"/>
        </w:rPr>
        <w:t xml:space="preserve"> cũng vừa là cơ hộ</w:t>
      </w:r>
      <w:r>
        <w:rPr>
          <w:rFonts w:ascii="Times New Roman" w:hAnsi="Times New Roman"/>
          <w:sz w:val="28"/>
          <w:szCs w:val="28"/>
          <w:lang w:val="af-ZA"/>
        </w:rPr>
        <w:t>i</w:t>
      </w:r>
      <w:r w:rsidR="00D42F82" w:rsidRPr="00D42F82">
        <w:rPr>
          <w:rFonts w:ascii="Times New Roman" w:hAnsi="Times New Roman"/>
          <w:sz w:val="28"/>
          <w:szCs w:val="28"/>
          <w:lang w:val="af-ZA"/>
        </w:rPr>
        <w:t xml:space="preserve"> củ</w:t>
      </w:r>
      <w:r>
        <w:rPr>
          <w:rFonts w:ascii="Times New Roman" w:hAnsi="Times New Roman"/>
          <w:sz w:val="28"/>
          <w:szCs w:val="28"/>
          <w:lang w:val="af-ZA"/>
        </w:rPr>
        <w:t xml:space="preserve">a </w:t>
      </w:r>
      <w:r w:rsidRPr="00200054">
        <w:rPr>
          <w:rFonts w:ascii="Times New Roman" w:hAnsi="Times New Roman"/>
          <w:sz w:val="28"/>
          <w:szCs w:val="28"/>
          <w:lang w:val="af-ZA"/>
        </w:rPr>
        <w:t>để EVN</w:t>
      </w:r>
      <w:r w:rsidRPr="00200054">
        <w:rPr>
          <w:rFonts w:ascii="Times New Roman" w:hAnsi="Times New Roman"/>
          <w:i/>
          <w:sz w:val="28"/>
          <w:szCs w:val="28"/>
          <w:lang w:val="af-ZA"/>
        </w:rPr>
        <w:t>GENCO3</w:t>
      </w:r>
      <w:r>
        <w:rPr>
          <w:rFonts w:ascii="Times New Roman" w:hAnsi="Times New Roman"/>
          <w:i/>
          <w:sz w:val="28"/>
          <w:szCs w:val="28"/>
          <w:lang w:val="af-ZA"/>
        </w:rPr>
        <w:t xml:space="preserve"> </w:t>
      </w:r>
      <w:r w:rsidRPr="00200054">
        <w:rPr>
          <w:rFonts w:ascii="Times New Roman" w:hAnsi="Times New Roman"/>
          <w:sz w:val="28"/>
          <w:szCs w:val="28"/>
          <w:lang w:val="af-ZA"/>
        </w:rPr>
        <w:t>không ngừng nâng cao uy tín</w:t>
      </w:r>
      <w:r>
        <w:rPr>
          <w:rFonts w:ascii="Times New Roman" w:hAnsi="Times New Roman"/>
          <w:sz w:val="28"/>
          <w:szCs w:val="28"/>
          <w:lang w:val="af-ZA"/>
        </w:rPr>
        <w:t>,</w:t>
      </w:r>
      <w:r>
        <w:rPr>
          <w:rFonts w:ascii="Times New Roman" w:hAnsi="Times New Roman" w:cs="Times New Roman"/>
          <w:sz w:val="28"/>
          <w:szCs w:val="28"/>
          <w:lang w:val="af-ZA"/>
        </w:rPr>
        <w:t xml:space="preserve"> thương hiệu, sự minh bạch và hiệu quả trong quản trị doanh nghiệp, mở ra nhiều cơ hội tiếp cận gần hơn với các nhà đầu tư trong và ngoài nước.</w:t>
      </w:r>
    </w:p>
    <w:p w14:paraId="199E787D" w14:textId="74FFEB8E" w:rsidR="003916B7" w:rsidRPr="00200054" w:rsidRDefault="00D42F82" w:rsidP="00D42F82">
      <w:pPr>
        <w:jc w:val="both"/>
        <w:rPr>
          <w:rFonts w:ascii="Times New Roman" w:hAnsi="Times New Roman" w:cs="Times New Roman"/>
          <w:sz w:val="28"/>
          <w:szCs w:val="28"/>
          <w:lang w:val="af-ZA"/>
        </w:rPr>
      </w:pPr>
      <w:r w:rsidRPr="00200054">
        <w:rPr>
          <w:rFonts w:ascii="Times New Roman" w:hAnsi="Times New Roman"/>
          <w:sz w:val="28"/>
          <w:szCs w:val="28"/>
          <w:lang w:val="af-ZA"/>
        </w:rPr>
        <w:t>EVN</w:t>
      </w:r>
      <w:r w:rsidRPr="00200054">
        <w:rPr>
          <w:rFonts w:ascii="Times New Roman" w:hAnsi="Times New Roman"/>
          <w:i/>
          <w:iCs/>
          <w:sz w:val="28"/>
          <w:szCs w:val="28"/>
          <w:lang w:val="af-ZA"/>
        </w:rPr>
        <w:t>GENCO3</w:t>
      </w:r>
      <w:r w:rsidRPr="00200054">
        <w:rPr>
          <w:rFonts w:ascii="Times New Roman" w:hAnsi="Times New Roman"/>
          <w:sz w:val="28"/>
          <w:szCs w:val="28"/>
          <w:lang w:val="af-ZA"/>
        </w:rPr>
        <w:t xml:space="preserve"> xác định giai đoạn 2021-2025 </w:t>
      </w:r>
      <w:r w:rsidR="00200054" w:rsidRPr="00200054">
        <w:rPr>
          <w:rFonts w:ascii="Times New Roman" w:hAnsi="Times New Roman"/>
          <w:sz w:val="28"/>
          <w:szCs w:val="28"/>
        </w:rPr>
        <w:t>và các năm tiế</w:t>
      </w:r>
      <w:r w:rsidR="00AB3BD1">
        <w:rPr>
          <w:rFonts w:ascii="Times New Roman" w:hAnsi="Times New Roman"/>
          <w:sz w:val="28"/>
          <w:szCs w:val="28"/>
        </w:rPr>
        <w:t>p theo</w:t>
      </w:r>
      <w:bookmarkStart w:id="3" w:name="_GoBack"/>
      <w:bookmarkEnd w:id="3"/>
      <w:r w:rsidR="00200054" w:rsidRPr="00200054">
        <w:rPr>
          <w:rFonts w:ascii="Times New Roman" w:hAnsi="Times New Roman"/>
          <w:sz w:val="28"/>
          <w:szCs w:val="28"/>
        </w:rPr>
        <w:t xml:space="preserve"> sẽ mạnh mẽ chuyển đổi số trong công tác quản trị, điều hành; tiếp tục áp dụng rộng rãi CMCN 4.0 trong tối ưu công tác vận hành, sửa chữa các nhà máy điện nhằm nâng cao hiệu quả sản xuất kinh doanh và phấn đấu chia cổ tức bình quân ở mức khoảng 10%; triển khai toàn diện </w:t>
      </w:r>
      <w:r w:rsidR="00200054" w:rsidRPr="00200054">
        <w:rPr>
          <w:rFonts w:ascii="Times New Roman" w:hAnsi="Times New Roman"/>
          <w:sz w:val="28"/>
          <w:szCs w:val="28"/>
          <w:lang w:val="af-ZA"/>
        </w:rPr>
        <w:t>các giải pháp đảm bảo môi trường ổn định, dài hạn cho các nhà máy nhiệt điện than; mở rộng thị trường cung cấp dịch vụ vận hành và sửa chữa các nhà máy điện; định hướng phát triển năng lượng sạch trong tương lai như: đẩy mạnh hợp tác đầu tư các dự án nhà máy điện sử dụng LNG cũng như triển khai mua LNG cho các nhà máy điện Phú Mỹ ở thời điểm phù hợp; nghiên cứu xúc tiến triển khai đầu tư các dự án điện gió, điện mặt trời hybrid (kết hợp với thủy điện) sau khi Quy hoạch điện 8 được phê duyệt. Với các kế hoạch đã nêu, bên cạnh việc duy trì lợi ích cho các cổ đông hiện nay, Tổng Công ty kỳ vọng thu hút được sự quan tâm của các nhà đầu tư lớn để hoàn thành nhiệm vụ tái cơ cấu, giảm tỷ lệ sở hữu của EVN tại EVNGENCO3 theo chủ trương đã được phê duyệt.</w:t>
      </w:r>
    </w:p>
    <w:p w14:paraId="3EB57A52" w14:textId="3A6AD492" w:rsidR="008F691F" w:rsidRPr="00D64492" w:rsidRDefault="00D42F82" w:rsidP="00695186">
      <w:pPr>
        <w:jc w:val="both"/>
        <w:rPr>
          <w:rFonts w:ascii="Times New Roman" w:hAnsi="Times New Roman" w:cs="Times New Roman"/>
          <w:sz w:val="28"/>
          <w:szCs w:val="28"/>
          <w:lang w:val="af-ZA"/>
        </w:rPr>
      </w:pPr>
      <w:r w:rsidRPr="000073B8">
        <w:rPr>
          <w:rFonts w:ascii="Times New Roman" w:hAnsi="Times New Roman" w:cs="Times New Roman"/>
          <w:sz w:val="28"/>
          <w:szCs w:val="28"/>
          <w:lang w:val="af-ZA"/>
        </w:rPr>
        <w:t>Việc niêm yết cổ phiếu PGV trên HOSE được kỳ vọng sẽ đưa Tổng Công ty bước sang một giai đoạn mới phát triển mạnh mẽ, vượt bậc và bền vững. EVN</w:t>
      </w:r>
      <w:r w:rsidRPr="000073B8">
        <w:rPr>
          <w:rFonts w:ascii="Times New Roman" w:hAnsi="Times New Roman" w:cs="Times New Roman"/>
          <w:i/>
          <w:sz w:val="28"/>
          <w:szCs w:val="28"/>
          <w:lang w:val="af-ZA"/>
        </w:rPr>
        <w:t>GENCO3</w:t>
      </w:r>
      <w:r w:rsidRPr="000073B8">
        <w:rPr>
          <w:rFonts w:ascii="Times New Roman" w:hAnsi="Times New Roman" w:cs="Times New Roman"/>
          <w:sz w:val="28"/>
          <w:szCs w:val="28"/>
          <w:lang w:val="af-ZA"/>
        </w:rPr>
        <w:t xml:space="preserve"> quyết tâm phấn đấu nhiều hơn nữa, quyết tâm vượt mọi khó khăn thách thức để hoàn thành chiến lược phát triển</w:t>
      </w:r>
      <w:r>
        <w:rPr>
          <w:rFonts w:ascii="Times New Roman" w:hAnsi="Times New Roman" w:cs="Times New Roman"/>
          <w:sz w:val="28"/>
          <w:szCs w:val="28"/>
          <w:lang w:val="af-ZA"/>
        </w:rPr>
        <w:t>,</w:t>
      </w:r>
      <w:r w:rsidRPr="000073B8">
        <w:rPr>
          <w:rFonts w:ascii="Times New Roman" w:hAnsi="Times New Roman" w:cs="Times New Roman"/>
          <w:sz w:val="28"/>
          <w:szCs w:val="28"/>
          <w:lang w:val="af-ZA"/>
        </w:rPr>
        <w:t xml:space="preserve"> đưa Tổng Công ty Phát điện 3 trở thành là một trong những Đơn vị hàng đầu trong lĩnh vực năng lượng, đầu tư phát triển nguồn điện tại Việt Nam và khu vực.</w:t>
      </w:r>
    </w:p>
    <w:p w14:paraId="7CBEE6B5" w14:textId="77777777" w:rsidR="00C968DA" w:rsidRPr="00D64492" w:rsidRDefault="00C968DA" w:rsidP="00C968DA">
      <w:pPr>
        <w:jc w:val="both"/>
        <w:rPr>
          <w:rFonts w:ascii="Times New Roman" w:hAnsi="Times New Roman" w:cs="Times New Roman"/>
          <w:b/>
          <w:sz w:val="28"/>
          <w:szCs w:val="28"/>
          <w:lang w:val="af-ZA"/>
        </w:rPr>
      </w:pPr>
      <w:r w:rsidRPr="00D64492">
        <w:rPr>
          <w:rFonts w:ascii="Times New Roman" w:hAnsi="Times New Roman" w:cs="Times New Roman"/>
          <w:b/>
          <w:sz w:val="28"/>
          <w:szCs w:val="28"/>
          <w:lang w:val="af-ZA"/>
        </w:rPr>
        <w:t>THÔNG TIN LIÊN HỆ:</w:t>
      </w:r>
    </w:p>
    <w:p w14:paraId="42A5B85F" w14:textId="3FCD8C40" w:rsidR="00C968DA" w:rsidRPr="00D64492" w:rsidRDefault="00C968DA" w:rsidP="008F691F">
      <w:pPr>
        <w:spacing w:after="20" w:line="240" w:lineRule="auto"/>
        <w:jc w:val="both"/>
        <w:rPr>
          <w:rFonts w:ascii="Times New Roman" w:hAnsi="Times New Roman" w:cs="Times New Roman"/>
          <w:sz w:val="27"/>
          <w:szCs w:val="27"/>
          <w:lang w:val="af-ZA"/>
        </w:rPr>
      </w:pPr>
      <w:r w:rsidRPr="00D64492">
        <w:rPr>
          <w:rFonts w:ascii="Times New Roman" w:hAnsi="Times New Roman" w:cs="Times New Roman"/>
          <w:sz w:val="27"/>
          <w:szCs w:val="27"/>
          <w:lang w:val="af-ZA"/>
        </w:rPr>
        <w:t>Tổng Công ty Phát điện 3 - CTCP</w:t>
      </w:r>
    </w:p>
    <w:p w14:paraId="6A9EEFD9" w14:textId="3733376B" w:rsidR="00C968DA" w:rsidRPr="00D64492" w:rsidRDefault="00C968DA" w:rsidP="008F691F">
      <w:pPr>
        <w:spacing w:after="20" w:line="240" w:lineRule="auto"/>
        <w:jc w:val="both"/>
        <w:rPr>
          <w:rFonts w:ascii="Times New Roman" w:hAnsi="Times New Roman" w:cs="Times New Roman"/>
          <w:sz w:val="26"/>
          <w:szCs w:val="26"/>
          <w:lang w:val="af-ZA"/>
        </w:rPr>
      </w:pPr>
      <w:r w:rsidRPr="00D64492">
        <w:rPr>
          <w:rFonts w:ascii="Times New Roman" w:hAnsi="Times New Roman" w:cs="Times New Roman"/>
          <w:sz w:val="26"/>
          <w:szCs w:val="26"/>
          <w:lang w:val="af-ZA"/>
        </w:rPr>
        <w:t>Địa chỉ: Số 60 - 66 Nguyễn Cơ Thạch, Khu đô thị</w:t>
      </w:r>
      <w:r w:rsidR="00141AE4" w:rsidRPr="00D64492">
        <w:rPr>
          <w:rFonts w:ascii="Times New Roman" w:hAnsi="Times New Roman" w:cs="Times New Roman"/>
          <w:sz w:val="26"/>
          <w:szCs w:val="26"/>
          <w:lang w:val="af-ZA"/>
        </w:rPr>
        <w:t xml:space="preserve"> Sala, TP. </w:t>
      </w:r>
      <w:r w:rsidRPr="00D64492">
        <w:rPr>
          <w:rFonts w:ascii="Times New Roman" w:hAnsi="Times New Roman" w:cs="Times New Roman"/>
          <w:sz w:val="26"/>
          <w:szCs w:val="26"/>
          <w:lang w:val="af-ZA"/>
        </w:rPr>
        <w:t>Thủ Đứ</w:t>
      </w:r>
      <w:r w:rsidR="00141AE4" w:rsidRPr="00D64492">
        <w:rPr>
          <w:rFonts w:ascii="Times New Roman" w:hAnsi="Times New Roman" w:cs="Times New Roman"/>
          <w:sz w:val="26"/>
          <w:szCs w:val="26"/>
          <w:lang w:val="af-ZA"/>
        </w:rPr>
        <w:t xml:space="preserve">c, TP. </w:t>
      </w:r>
      <w:r w:rsidRPr="00D64492">
        <w:rPr>
          <w:rFonts w:ascii="Times New Roman" w:hAnsi="Times New Roman" w:cs="Times New Roman"/>
          <w:sz w:val="26"/>
          <w:szCs w:val="26"/>
          <w:lang w:val="af-ZA"/>
        </w:rPr>
        <w:t>Hồ Chí Minh</w:t>
      </w:r>
    </w:p>
    <w:p w14:paraId="62233BED" w14:textId="15B980D6" w:rsidR="00C968DA" w:rsidRPr="00141AE4" w:rsidRDefault="00C968DA" w:rsidP="008F691F">
      <w:pPr>
        <w:spacing w:after="20" w:line="240" w:lineRule="auto"/>
        <w:jc w:val="both"/>
        <w:rPr>
          <w:rFonts w:ascii="Times New Roman" w:hAnsi="Times New Roman" w:cs="Times New Roman"/>
          <w:sz w:val="27"/>
          <w:szCs w:val="27"/>
        </w:rPr>
      </w:pPr>
      <w:r w:rsidRPr="00141AE4">
        <w:rPr>
          <w:rFonts w:ascii="Times New Roman" w:hAnsi="Times New Roman" w:cs="Times New Roman"/>
          <w:sz w:val="27"/>
          <w:szCs w:val="27"/>
        </w:rPr>
        <w:t>Điện thoại: (84-28) 3636 7449</w:t>
      </w:r>
      <w:r w:rsidRPr="00141AE4">
        <w:rPr>
          <w:rFonts w:ascii="Times New Roman" w:hAnsi="Times New Roman" w:cs="Times New Roman"/>
          <w:sz w:val="27"/>
          <w:szCs w:val="27"/>
        </w:rPr>
        <w:tab/>
      </w:r>
      <w:r w:rsidRPr="00141AE4">
        <w:rPr>
          <w:rFonts w:ascii="Times New Roman" w:hAnsi="Times New Roman" w:cs="Times New Roman"/>
          <w:sz w:val="27"/>
          <w:szCs w:val="27"/>
        </w:rPr>
        <w:tab/>
      </w:r>
      <w:r w:rsidRPr="00141AE4">
        <w:rPr>
          <w:rFonts w:ascii="Times New Roman" w:hAnsi="Times New Roman" w:cs="Times New Roman"/>
          <w:sz w:val="27"/>
          <w:szCs w:val="27"/>
        </w:rPr>
        <w:tab/>
        <w:t>Fax: (84-28) 3636 7450</w:t>
      </w:r>
    </w:p>
    <w:sectPr w:rsidR="00C968DA" w:rsidRPr="00141AE4" w:rsidSect="00D64492">
      <w:pgSz w:w="11906" w:h="16838"/>
      <w:pgMar w:top="1134"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90242" w14:textId="77777777" w:rsidR="00BC0CA0" w:rsidRDefault="00BC0CA0" w:rsidP="0044317A">
      <w:pPr>
        <w:spacing w:after="0" w:line="240" w:lineRule="auto"/>
      </w:pPr>
      <w:r>
        <w:separator/>
      </w:r>
    </w:p>
  </w:endnote>
  <w:endnote w:type="continuationSeparator" w:id="0">
    <w:p w14:paraId="6A24B291" w14:textId="77777777" w:rsidR="00BC0CA0" w:rsidRDefault="00BC0CA0" w:rsidP="0044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A36F" w14:textId="77777777" w:rsidR="00BC0CA0" w:rsidRDefault="00BC0CA0" w:rsidP="0044317A">
      <w:pPr>
        <w:spacing w:after="0" w:line="240" w:lineRule="auto"/>
      </w:pPr>
      <w:r>
        <w:separator/>
      </w:r>
    </w:p>
  </w:footnote>
  <w:footnote w:type="continuationSeparator" w:id="0">
    <w:p w14:paraId="744CECED" w14:textId="77777777" w:rsidR="00BC0CA0" w:rsidRDefault="00BC0CA0" w:rsidP="00443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E488B"/>
    <w:multiLevelType w:val="hybridMultilevel"/>
    <w:tmpl w:val="7CEAB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E2B7A"/>
    <w:multiLevelType w:val="hybridMultilevel"/>
    <w:tmpl w:val="50A88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E640C"/>
    <w:multiLevelType w:val="hybridMultilevel"/>
    <w:tmpl w:val="7CEAB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14"/>
    <w:rsid w:val="00004447"/>
    <w:rsid w:val="000201B8"/>
    <w:rsid w:val="000C6EDC"/>
    <w:rsid w:val="000E1D35"/>
    <w:rsid w:val="00141AE4"/>
    <w:rsid w:val="00147671"/>
    <w:rsid w:val="001C3932"/>
    <w:rsid w:val="00200054"/>
    <w:rsid w:val="00205593"/>
    <w:rsid w:val="00243B14"/>
    <w:rsid w:val="00282663"/>
    <w:rsid w:val="00374A32"/>
    <w:rsid w:val="00390819"/>
    <w:rsid w:val="003916B7"/>
    <w:rsid w:val="00423137"/>
    <w:rsid w:val="0044317A"/>
    <w:rsid w:val="00482E6B"/>
    <w:rsid w:val="00503C1B"/>
    <w:rsid w:val="005109D1"/>
    <w:rsid w:val="00527A14"/>
    <w:rsid w:val="0056105B"/>
    <w:rsid w:val="0058764F"/>
    <w:rsid w:val="005D3FF8"/>
    <w:rsid w:val="00604B7A"/>
    <w:rsid w:val="00682B5A"/>
    <w:rsid w:val="00695186"/>
    <w:rsid w:val="00697ED7"/>
    <w:rsid w:val="00782F86"/>
    <w:rsid w:val="008650DC"/>
    <w:rsid w:val="008A15D7"/>
    <w:rsid w:val="008F691F"/>
    <w:rsid w:val="009006F7"/>
    <w:rsid w:val="00916A42"/>
    <w:rsid w:val="00A916B4"/>
    <w:rsid w:val="00AB3BD1"/>
    <w:rsid w:val="00AD4034"/>
    <w:rsid w:val="00AF25CC"/>
    <w:rsid w:val="00AF67F5"/>
    <w:rsid w:val="00B92047"/>
    <w:rsid w:val="00BC0CA0"/>
    <w:rsid w:val="00BF0430"/>
    <w:rsid w:val="00C579DA"/>
    <w:rsid w:val="00C63A41"/>
    <w:rsid w:val="00C968DA"/>
    <w:rsid w:val="00CE23F9"/>
    <w:rsid w:val="00CE3B6B"/>
    <w:rsid w:val="00D42F82"/>
    <w:rsid w:val="00D6449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E274"/>
  <w15:chartTrackingRefBased/>
  <w15:docId w15:val="{04CD848A-ADF8-4FAC-A1AA-3578AF6A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4A3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374A32"/>
    <w:pPr>
      <w:spacing w:after="200" w:line="276" w:lineRule="auto"/>
      <w:ind w:left="720"/>
      <w:contextualSpacing/>
    </w:pPr>
    <w:rPr>
      <w:lang w:val="en-US"/>
    </w:rPr>
  </w:style>
  <w:style w:type="table" w:styleId="TableGrid">
    <w:name w:val="Table Grid"/>
    <w:basedOn w:val="TableNormal"/>
    <w:uiPriority w:val="39"/>
    <w:rsid w:val="0037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17A"/>
  </w:style>
  <w:style w:type="paragraph" w:styleId="Footer">
    <w:name w:val="footer"/>
    <w:basedOn w:val="Normal"/>
    <w:link w:val="FooterChar"/>
    <w:uiPriority w:val="99"/>
    <w:unhideWhenUsed/>
    <w:rsid w:val="00443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17A"/>
  </w:style>
  <w:style w:type="paragraph" w:styleId="BalloonText">
    <w:name w:val="Balloon Text"/>
    <w:basedOn w:val="Normal"/>
    <w:link w:val="BalloonTextChar"/>
    <w:uiPriority w:val="99"/>
    <w:semiHidden/>
    <w:unhideWhenUsed/>
    <w:rsid w:val="00900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Viet Hung</dc:creator>
  <cp:keywords/>
  <dc:description/>
  <cp:lastModifiedBy>Phan Buu Dao</cp:lastModifiedBy>
  <cp:revision>3</cp:revision>
  <cp:lastPrinted>2022-02-10T00:20:00Z</cp:lastPrinted>
  <dcterms:created xsi:type="dcterms:W3CDTF">2022-02-10T00:24:00Z</dcterms:created>
  <dcterms:modified xsi:type="dcterms:W3CDTF">2022-02-10T00:25:00Z</dcterms:modified>
</cp:coreProperties>
</file>